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ABE1" w14:textId="0DF72675" w:rsidR="00FE067E" w:rsidRPr="00422979" w:rsidRDefault="00796EA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5D8B02EF" wp14:editId="6777ACF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8C1272" w14:textId="020F4694" w:rsidR="00796EAF" w:rsidRPr="00796EAF" w:rsidRDefault="00796EAF" w:rsidP="00796EAF">
                            <w:pPr>
                              <w:spacing w:line="240" w:lineRule="auto"/>
                              <w:jc w:val="center"/>
                              <w:rPr>
                                <w:rFonts w:cs="Arial"/>
                                <w:b/>
                              </w:rPr>
                            </w:pPr>
                            <w:r w:rsidRPr="00796E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B02E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118C1272" w14:textId="020F4694" w:rsidR="00796EAF" w:rsidRPr="00796EAF" w:rsidRDefault="00796EAF" w:rsidP="00796EAF">
                      <w:pPr>
                        <w:spacing w:line="240" w:lineRule="auto"/>
                        <w:jc w:val="center"/>
                        <w:rPr>
                          <w:rFonts w:cs="Arial"/>
                          <w:b/>
                        </w:rPr>
                      </w:pPr>
                      <w:r w:rsidRPr="00796EAF">
                        <w:rPr>
                          <w:rFonts w:cs="Arial"/>
                          <w:b/>
                        </w:rPr>
                        <w:t>FISCAL NOTE</w:t>
                      </w:r>
                    </w:p>
                  </w:txbxContent>
                </v:textbox>
              </v:shape>
            </w:pict>
          </mc:Fallback>
        </mc:AlternateContent>
      </w:r>
      <w:r w:rsidR="00CD36CF" w:rsidRPr="00422979">
        <w:rPr>
          <w:color w:val="auto"/>
        </w:rPr>
        <w:t>WEST virginia legislature</w:t>
      </w:r>
    </w:p>
    <w:p w14:paraId="4F1DC555" w14:textId="44A06506" w:rsidR="00CD36CF" w:rsidRPr="00422979" w:rsidRDefault="00CD36CF" w:rsidP="00CC1F3B">
      <w:pPr>
        <w:pStyle w:val="TitlePageSession"/>
        <w:rPr>
          <w:color w:val="auto"/>
        </w:rPr>
      </w:pPr>
      <w:r w:rsidRPr="00422979">
        <w:rPr>
          <w:color w:val="auto"/>
        </w:rPr>
        <w:t>20</w:t>
      </w:r>
      <w:r w:rsidR="005E14D8">
        <w:rPr>
          <w:color w:val="auto"/>
        </w:rPr>
        <w:t>2</w:t>
      </w:r>
      <w:r w:rsidRPr="00422979">
        <w:rPr>
          <w:color w:val="auto"/>
        </w:rPr>
        <w:t>1 regular session</w:t>
      </w:r>
    </w:p>
    <w:p w14:paraId="44282B9D" w14:textId="62A36D77" w:rsidR="00CD36CF" w:rsidRPr="00422979" w:rsidRDefault="005E14D8"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27E5E178" wp14:editId="46B06B4D">
                <wp:simplePos x="0" y="0"/>
                <wp:positionH relativeFrom="column">
                  <wp:posOffset>7527925</wp:posOffset>
                </wp:positionH>
                <wp:positionV relativeFrom="paragraph">
                  <wp:posOffset>479425</wp:posOffset>
                </wp:positionV>
                <wp:extent cx="8636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863600" cy="476250"/>
                        </a:xfrm>
                        <a:prstGeom prst="rect">
                          <a:avLst/>
                        </a:prstGeom>
                        <a:noFill/>
                        <a:ln w="6350">
                          <a:solidFill>
                            <a:prstClr val="black"/>
                          </a:solidFill>
                        </a:ln>
                      </wps:spPr>
                      <wps:txbx>
                        <w:txbxContent>
                          <w:p w14:paraId="023734F4" w14:textId="297C4546" w:rsidR="00832E7F" w:rsidRPr="00832E7F" w:rsidRDefault="00832E7F" w:rsidP="00832E7F">
                            <w:pPr>
                              <w:spacing w:line="240" w:lineRule="auto"/>
                              <w:jc w:val="center"/>
                              <w:rPr>
                                <w:rFonts w:cs="Arial"/>
                                <w:b/>
                              </w:rPr>
                            </w:pPr>
                            <w:r w:rsidRPr="00832E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E178" id="_x0000_s1027" type="#_x0000_t202" style="position:absolute;left:0;text-align:left;margin-left:592.75pt;margin-top:37.75pt;width:6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" filled="f" strokeweight=".5pt">
                <v:textbox inset="0,5pt,0,0">
                  <w:txbxContent>
                    <w:p w14:paraId="023734F4" w14:textId="297C4546" w:rsidR="00832E7F" w:rsidRPr="00832E7F" w:rsidRDefault="00832E7F" w:rsidP="00832E7F">
                      <w:pPr>
                        <w:spacing w:line="240" w:lineRule="auto"/>
                        <w:jc w:val="center"/>
                        <w:rPr>
                          <w:rFonts w:cs="Arial"/>
                          <w:b/>
                        </w:rPr>
                      </w:pPr>
                      <w:r w:rsidRPr="00832E7F">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422979">
            <w:rPr>
              <w:color w:val="auto"/>
            </w:rPr>
            <w:t>Introduced</w:t>
          </w:r>
        </w:sdtContent>
      </w:sdt>
    </w:p>
    <w:p w14:paraId="541E08CA" w14:textId="45C6D58A" w:rsidR="00CD36CF" w:rsidRPr="00422979" w:rsidRDefault="00E644C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22979">
            <w:rPr>
              <w:color w:val="auto"/>
            </w:rPr>
            <w:t>House</w:t>
          </w:r>
        </w:sdtContent>
      </w:sdt>
      <w:r w:rsidR="00303684" w:rsidRPr="00422979">
        <w:rPr>
          <w:color w:val="auto"/>
        </w:rPr>
        <w:t xml:space="preserve"> </w:t>
      </w:r>
      <w:r w:rsidR="00CD36CF" w:rsidRPr="0042297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2281</w:t>
          </w:r>
        </w:sdtContent>
      </w:sdt>
    </w:p>
    <w:p w14:paraId="1F4416A9" w14:textId="64BA8F24" w:rsidR="00CD36CF" w:rsidRPr="00422979" w:rsidRDefault="00CD36CF" w:rsidP="00CC1F3B">
      <w:pPr>
        <w:pStyle w:val="Sponsors"/>
        <w:rPr>
          <w:color w:val="auto"/>
        </w:rPr>
      </w:pPr>
      <w:r w:rsidRPr="00422979">
        <w:rPr>
          <w:color w:val="auto"/>
        </w:rPr>
        <w:t xml:space="preserve">By </w:t>
      </w:r>
      <w:sdt>
        <w:sdtPr>
          <w:rPr>
            <w:color w:val="auto"/>
          </w:rPr>
          <w:tag w:val="Sponsors"/>
          <w:id w:val="1589585889"/>
          <w:placeholder>
            <w:docPart w:val="D3DF987F6921417FB42A59748B040B52"/>
          </w:placeholder>
          <w:text w:multiLine="1"/>
        </w:sdtPr>
        <w:sdtEndPr/>
        <w:sdtContent>
          <w:r w:rsidR="00E6182C" w:rsidRPr="00422979">
            <w:rPr>
              <w:color w:val="auto"/>
            </w:rPr>
            <w:t>Delegate Bates</w:t>
          </w:r>
        </w:sdtContent>
      </w:sdt>
    </w:p>
    <w:p w14:paraId="12260CBE" w14:textId="3DABEC19" w:rsidR="00E831B3" w:rsidRPr="00422979" w:rsidRDefault="00CD36CF" w:rsidP="00422979">
      <w:pPr>
        <w:pStyle w:val="References"/>
        <w:rPr>
          <w:color w:val="auto"/>
        </w:rPr>
      </w:pPr>
      <w:r w:rsidRPr="00422979">
        <w:rPr>
          <w:color w:val="auto"/>
        </w:rPr>
        <w:t>[</w:t>
      </w:r>
      <w:sdt>
        <w:sdtPr>
          <w:rPr>
            <w:color w:val="auto"/>
          </w:rPr>
          <w:tag w:val="References"/>
          <w:id w:val="-1043047873"/>
          <w:placeholder>
            <w:docPart w:val="86D2588D5BE4435AB3D90589B95411FC"/>
          </w:placeholder>
          <w:text w:multiLine="1"/>
        </w:sdtPr>
        <w:sdtEndPr/>
        <w:sdtContent>
          <w:r w:rsidR="001D3323" w:rsidRPr="00184EE7">
            <w:rPr>
              <w:color w:val="auto"/>
            </w:rPr>
            <w:t>Introduced</w:t>
          </w:r>
          <w:r w:rsidR="00E644C7">
            <w:rPr>
              <w:color w:val="auto"/>
            </w:rPr>
            <w:t xml:space="preserve"> February 10, 2021</w:t>
          </w:r>
          <w:r w:rsidR="000E0BBF" w:rsidRPr="00184EE7">
            <w:rPr>
              <w:color w:val="auto"/>
            </w:rPr>
            <w:t>; Referred</w:t>
          </w:r>
          <w:r w:rsidR="000E0BBF" w:rsidRPr="00184EE7">
            <w:rPr>
              <w:color w:val="auto"/>
            </w:rPr>
            <w:br/>
            <w:t>to the Committee on</w:t>
          </w:r>
          <w:r w:rsidR="001D3323" w:rsidRPr="00184EE7">
            <w:rPr>
              <w:color w:val="auto"/>
            </w:rPr>
            <w:t xml:space="preserve"> </w:t>
          </w:r>
          <w:r w:rsidR="00E644C7">
            <w:rPr>
              <w:color w:val="auto"/>
            </w:rPr>
            <w:t>Banking and Insurance then the Judiciary</w:t>
          </w:r>
        </w:sdtContent>
      </w:sdt>
      <w:r w:rsidRPr="00422979">
        <w:rPr>
          <w:color w:val="auto"/>
        </w:rPr>
        <w:t>]</w:t>
      </w:r>
    </w:p>
    <w:p w14:paraId="58C3831A" w14:textId="77777777" w:rsidR="00303684" w:rsidRPr="00F02C6D" w:rsidRDefault="0000526A" w:rsidP="00CC1F3B">
      <w:pPr>
        <w:pStyle w:val="TitleSection"/>
        <w:rPr>
          <w:color w:val="auto"/>
        </w:rPr>
      </w:pPr>
      <w:r w:rsidRPr="00F02C6D">
        <w:rPr>
          <w:color w:val="auto"/>
        </w:rPr>
        <w:lastRenderedPageBreak/>
        <w:t>A BILL</w:t>
      </w:r>
      <w:r w:rsidR="00233C20" w:rsidRPr="00F02C6D">
        <w:rPr>
          <w:color w:val="auto"/>
        </w:rPr>
        <w:t xml:space="preserve"> to amend and reenact §5-16-5 of the Code of West Virginia, 1931, as amended, relating to modifying the method of calculation of the employer and employee contribution percentages for public employee insurance premiums.</w:t>
      </w:r>
    </w:p>
    <w:p w14:paraId="5F89717B" w14:textId="77777777" w:rsidR="00303684" w:rsidRPr="00F02C6D" w:rsidRDefault="00303684" w:rsidP="00CC1F3B">
      <w:pPr>
        <w:pStyle w:val="EnactingClause"/>
        <w:rPr>
          <w:color w:val="auto"/>
        </w:rPr>
        <w:sectPr w:rsidR="00303684" w:rsidRPr="00F02C6D" w:rsidSect="008154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2C6D">
        <w:rPr>
          <w:color w:val="auto"/>
        </w:rPr>
        <w:t>Be it enacted by the Legislature of West Virginia:</w:t>
      </w:r>
    </w:p>
    <w:p w14:paraId="36D3713F" w14:textId="77777777" w:rsidR="003F0237" w:rsidRPr="00F02C6D" w:rsidRDefault="003F0237" w:rsidP="006B408D">
      <w:pPr>
        <w:pStyle w:val="ArticleHeading"/>
        <w:rPr>
          <w:color w:val="auto"/>
        </w:rPr>
        <w:sectPr w:rsidR="003F0237" w:rsidRPr="00F02C6D" w:rsidSect="0081544B">
          <w:type w:val="continuous"/>
          <w:pgSz w:w="12240" w:h="15840" w:code="1"/>
          <w:pgMar w:top="1440" w:right="1440" w:bottom="1440" w:left="1440" w:header="720" w:footer="720" w:gutter="0"/>
          <w:lnNumType w:countBy="1" w:restart="newSection"/>
          <w:cols w:space="720"/>
          <w:titlePg/>
          <w:docGrid w:linePitch="360"/>
        </w:sectPr>
      </w:pPr>
      <w:r w:rsidRPr="00F02C6D">
        <w:rPr>
          <w:color w:val="auto"/>
        </w:rPr>
        <w:t>ARTICLE 16. WEST VIRGINIA PUBLIC EMPLOYEES INSURANCE ACT.</w:t>
      </w:r>
    </w:p>
    <w:p w14:paraId="68AC5780" w14:textId="3723940B" w:rsidR="003F0237" w:rsidRPr="00F02C6D" w:rsidRDefault="003F0237" w:rsidP="000545B6">
      <w:pPr>
        <w:pStyle w:val="SectionHeading"/>
        <w:rPr>
          <w:color w:val="auto"/>
        </w:rPr>
      </w:pPr>
      <w:r w:rsidRPr="00F02C6D">
        <w:rPr>
          <w:color w:val="auto"/>
        </w:rPr>
        <w:t xml:space="preserve">§5-16-5. Purpose, </w:t>
      </w:r>
      <w:r w:rsidR="00184EE7" w:rsidRPr="00F02C6D">
        <w:rPr>
          <w:color w:val="auto"/>
        </w:rPr>
        <w:t>powers,</w:t>
      </w:r>
      <w:r w:rsidRPr="00F02C6D">
        <w:rPr>
          <w:color w:val="auto"/>
        </w:rPr>
        <w:t xml:space="preserve"> and duties of the finance board; initial financial plan; financial plan for following year; and annual financial plans.</w:t>
      </w:r>
    </w:p>
    <w:p w14:paraId="36A5ACA2" w14:textId="48E2CCDE" w:rsidR="003F0237" w:rsidRPr="00F02C6D" w:rsidRDefault="003F0237" w:rsidP="000545B6">
      <w:pPr>
        <w:pStyle w:val="SectionBody"/>
        <w:rPr>
          <w:color w:val="auto"/>
        </w:rPr>
      </w:pPr>
      <w:r w:rsidRPr="00F02C6D">
        <w:rPr>
          <w:color w:val="auto"/>
        </w:rPr>
        <w:t>(a) The purpose of the finance board created by this article is to bring fiscal stability to the Public Employees Insurance Agency through development of annual financial plans and long-range plans designed to meet the agency</w:t>
      </w:r>
      <w:r w:rsidR="00FC204F" w:rsidRPr="00F02C6D">
        <w:rPr>
          <w:color w:val="auto"/>
        </w:rPr>
        <w:t>’</w:t>
      </w:r>
      <w:r w:rsidRPr="00F02C6D">
        <w:rPr>
          <w:color w:val="auto"/>
        </w:rPr>
        <w:t>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0CDC823F" w14:textId="39017E55" w:rsidR="003F0237" w:rsidRPr="00F02C6D" w:rsidRDefault="003F0237" w:rsidP="000545B6">
      <w:pPr>
        <w:pStyle w:val="SectionBody"/>
        <w:rPr>
          <w:color w:val="auto"/>
        </w:rPr>
      </w:pPr>
      <w:r w:rsidRPr="00F02C6D">
        <w:rPr>
          <w:color w:val="auto"/>
        </w:rPr>
        <w:t>(b)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w:t>
      </w:r>
      <w:r w:rsidR="00FC204F" w:rsidRPr="00F02C6D">
        <w:rPr>
          <w:color w:val="auto"/>
        </w:rPr>
        <w:t xml:space="preserve"> </w:t>
      </w:r>
      <w:r w:rsidR="006F0475" w:rsidRPr="00F02C6D">
        <w:rPr>
          <w:color w:val="auto"/>
          <w:u w:val="single"/>
        </w:rPr>
        <w:t>The actuary shall submit a projection of the increase in expenditures for employees’ health insurance benefits for the next plan year finance board</w:t>
      </w:r>
      <w:r w:rsidR="0088407A" w:rsidRPr="00F02C6D">
        <w:rPr>
          <w:color w:val="auto"/>
          <w:u w:val="single"/>
        </w:rPr>
        <w:t>.</w:t>
      </w:r>
      <w:r w:rsidR="0088407A" w:rsidRPr="00F02C6D">
        <w:rPr>
          <w:color w:val="auto"/>
        </w:rPr>
        <w:t xml:space="preserve"> </w:t>
      </w:r>
      <w:r w:rsidRPr="00F02C6D">
        <w:rPr>
          <w:color w:val="auto"/>
        </w:rPr>
        <w:t>Any financial plan or modifications to a financial plan approved or proposed by the finance board pursuant to this section shall be submitted to and reviewed by the actuary and may not be finally approved and submitted to the Governor and to the Legislature without the actuary</w:t>
      </w:r>
      <w:r w:rsidR="00FC204F" w:rsidRPr="00F02C6D">
        <w:rPr>
          <w:color w:val="auto"/>
        </w:rPr>
        <w:t>’</w:t>
      </w:r>
      <w:r w:rsidRPr="00F02C6D">
        <w:rPr>
          <w:color w:val="auto"/>
        </w:rPr>
        <w:t xml:space="preserve">s written professional opinion that the plan may be reasonably expected to generate sufficient revenues to meet all estimated program and </w:t>
      </w:r>
      <w:r w:rsidRPr="00F02C6D">
        <w:rPr>
          <w:color w:val="auto"/>
        </w:rPr>
        <w:lastRenderedPageBreak/>
        <w:t>administrative costs of the agency, including incurred but unreported claims, for the fiscal year for which the plan is proposed. The actuary</w:t>
      </w:r>
      <w:r w:rsidR="00FC204F" w:rsidRPr="00F02C6D">
        <w:rPr>
          <w:color w:val="auto"/>
        </w:rPr>
        <w:t>’</w:t>
      </w:r>
      <w:r w:rsidRPr="00F02C6D">
        <w:rPr>
          <w:color w:val="auto"/>
        </w:rPr>
        <w:t xml:space="preserve">s opinion on the financial plan for each fiscal year shall allow for no more than </w:t>
      </w:r>
      <w:r w:rsidR="00336C60" w:rsidRPr="00F02C6D">
        <w:rPr>
          <w:color w:val="auto"/>
        </w:rPr>
        <w:t>30</w:t>
      </w:r>
      <w:r w:rsidRPr="00F02C6D">
        <w:rPr>
          <w:color w:val="auto"/>
        </w:rPr>
        <w:t xml:space="preserve"> days of accounts payable to be carried over into the next fiscal year. The actuary</w:t>
      </w:r>
      <w:r w:rsidR="00FC204F" w:rsidRPr="00F02C6D">
        <w:rPr>
          <w:color w:val="auto"/>
        </w:rPr>
        <w:t>’</w:t>
      </w:r>
      <w:r w:rsidRPr="00F02C6D">
        <w:rPr>
          <w:color w:val="auto"/>
        </w:rPr>
        <w:t>s opinion for any fiscal year shall not include a requirement for establishment of a reserve fund.</w:t>
      </w:r>
    </w:p>
    <w:p w14:paraId="027D51A1" w14:textId="77777777" w:rsidR="003F0237" w:rsidRPr="00F02C6D" w:rsidRDefault="003F0237" w:rsidP="000545B6">
      <w:pPr>
        <w:pStyle w:val="SectionBody"/>
        <w:rPr>
          <w:color w:val="auto"/>
        </w:rPr>
      </w:pPr>
      <w:r w:rsidRPr="00F02C6D">
        <w:rPr>
          <w:color w:val="auto"/>
        </w:rPr>
        <w:t>(c) All financial plans required by this section shall establish:</w:t>
      </w:r>
    </w:p>
    <w:p w14:paraId="1CB13D72" w14:textId="77777777" w:rsidR="003F0237" w:rsidRPr="00F02C6D" w:rsidRDefault="003F0237" w:rsidP="000545B6">
      <w:pPr>
        <w:pStyle w:val="SectionBody"/>
        <w:rPr>
          <w:color w:val="auto"/>
        </w:rPr>
      </w:pPr>
      <w:r w:rsidRPr="00F02C6D">
        <w:rPr>
          <w:color w:val="auto"/>
        </w:rPr>
        <w:t>(1) Maximum levels of reimbursement which the Public Employees Insurance Agency makes to categories of health care providers;</w:t>
      </w:r>
    </w:p>
    <w:p w14:paraId="568EFB7B" w14:textId="77777777" w:rsidR="003F0237" w:rsidRPr="00F02C6D" w:rsidRDefault="003F0237" w:rsidP="000545B6">
      <w:pPr>
        <w:pStyle w:val="SectionBody"/>
        <w:rPr>
          <w:color w:val="auto"/>
        </w:rPr>
      </w:pPr>
      <w:r w:rsidRPr="00F02C6D">
        <w:rPr>
          <w:color w:val="auto"/>
        </w:rPr>
        <w:t>(2) Any necessary cost-containment measures for implementation by the director;</w:t>
      </w:r>
    </w:p>
    <w:p w14:paraId="46528FF3" w14:textId="77777777" w:rsidR="003F0237" w:rsidRPr="00F02C6D" w:rsidRDefault="003F0237" w:rsidP="000545B6">
      <w:pPr>
        <w:pStyle w:val="SectionBody"/>
        <w:rPr>
          <w:color w:val="auto"/>
        </w:rPr>
      </w:pPr>
      <w:r w:rsidRPr="00F02C6D">
        <w:rPr>
          <w:color w:val="auto"/>
        </w:rPr>
        <w:t>(3) The levels of premium costs to participating employers; and</w:t>
      </w:r>
    </w:p>
    <w:p w14:paraId="68693730" w14:textId="77777777" w:rsidR="003F0237" w:rsidRPr="00F02C6D" w:rsidRDefault="003F0237" w:rsidP="000545B6">
      <w:pPr>
        <w:pStyle w:val="SectionBody"/>
        <w:rPr>
          <w:color w:val="auto"/>
        </w:rPr>
      </w:pPr>
      <w:r w:rsidRPr="00F02C6D">
        <w:rPr>
          <w:color w:val="auto"/>
        </w:rPr>
        <w:t>(4) The types and levels of cost to participating employees and retired employees.</w:t>
      </w:r>
    </w:p>
    <w:p w14:paraId="27772B71" w14:textId="1253D8DD" w:rsidR="003F0237" w:rsidRPr="00F02C6D" w:rsidRDefault="003F0237" w:rsidP="000545B6">
      <w:pPr>
        <w:pStyle w:val="SectionBody"/>
        <w:rPr>
          <w:color w:val="auto"/>
        </w:rPr>
      </w:pPr>
      <w:r w:rsidRPr="00F02C6D">
        <w:rPr>
          <w:color w:val="auto"/>
        </w:rPr>
        <w:t>The financial plans may provide for different levels of costs based on the insureds</w:t>
      </w:r>
      <w:r w:rsidR="00FC204F" w:rsidRPr="00F02C6D">
        <w:rPr>
          <w:color w:val="auto"/>
        </w:rPr>
        <w:t>’</w:t>
      </w:r>
      <w:r w:rsidRPr="00F02C6D">
        <w:rPr>
          <w:color w:val="auto"/>
        </w:rPr>
        <w:t xml:space="preserve">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21CA6352" w14:textId="77777777" w:rsidR="003F0237" w:rsidRPr="00F02C6D" w:rsidRDefault="003F0237" w:rsidP="000545B6">
      <w:pPr>
        <w:pStyle w:val="SectionBody"/>
        <w:rPr>
          <w:color w:val="auto"/>
        </w:rPr>
      </w:pPr>
      <w:r w:rsidRPr="00F02C6D">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6C510F63" w14:textId="1EE02D40" w:rsidR="003F0237" w:rsidRPr="00F02C6D" w:rsidRDefault="003F0237" w:rsidP="000545B6">
      <w:pPr>
        <w:pStyle w:val="SectionBody"/>
        <w:rPr>
          <w:color w:val="auto"/>
        </w:rPr>
      </w:pPr>
      <w:r w:rsidRPr="00F02C6D">
        <w:rPr>
          <w:color w:val="auto"/>
        </w:rPr>
        <w:t xml:space="preserve">(d)(1) The finance board shall prepare an annual financial plan for each fiscal year during which the finance board remains in existence. The finance board </w:t>
      </w:r>
      <w:r w:rsidRPr="00F02C6D">
        <w:rPr>
          <w:strike/>
          <w:color w:val="auto"/>
        </w:rPr>
        <w:t>chairman</w:t>
      </w:r>
      <w:r w:rsidR="00FC204F" w:rsidRPr="00F02C6D">
        <w:rPr>
          <w:color w:val="auto"/>
        </w:rPr>
        <w:t xml:space="preserve"> </w:t>
      </w:r>
      <w:r w:rsidR="00FC204F" w:rsidRPr="00F02C6D">
        <w:rPr>
          <w:color w:val="auto"/>
          <w:u w:val="single"/>
        </w:rPr>
        <w:t>chairperson</w:t>
      </w:r>
      <w:r w:rsidRPr="00F02C6D">
        <w:rPr>
          <w:color w:val="auto"/>
        </w:rPr>
        <w:t xml:space="preserve"> shall request the actuary to estimate the total financial requirements of the Public Employees Insurance Agency for the fiscal year.</w:t>
      </w:r>
    </w:p>
    <w:p w14:paraId="7CC8378E" w14:textId="7BD43E24" w:rsidR="003F0237" w:rsidRPr="00F02C6D" w:rsidRDefault="003F0237" w:rsidP="000545B6">
      <w:pPr>
        <w:pStyle w:val="SectionBody"/>
        <w:rPr>
          <w:color w:val="auto"/>
        </w:rPr>
      </w:pPr>
      <w:r w:rsidRPr="00F02C6D">
        <w:rPr>
          <w:color w:val="auto"/>
        </w:rPr>
        <w:t xml:space="preserve">(2) The finance board shall prepare a proposed financial plan designed to generate revenues sufficient to meet all estimated program and administrative costs of the Public </w:t>
      </w:r>
      <w:r w:rsidRPr="00F02C6D">
        <w:rPr>
          <w:color w:val="auto"/>
        </w:rPr>
        <w:lastRenderedPageBreak/>
        <w:t xml:space="preserve">Employees Insurance Agency for the fiscal year. The proposed financial plan shall allow for no more than </w:t>
      </w:r>
      <w:r w:rsidR="00336C60" w:rsidRPr="00F02C6D">
        <w:rPr>
          <w:color w:val="auto"/>
        </w:rPr>
        <w:t>30</w:t>
      </w:r>
      <w:r w:rsidRPr="00F02C6D">
        <w:rPr>
          <w:color w:val="auto"/>
        </w:rPr>
        <w:t xml:space="preserve">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w:t>
      </w:r>
      <w:r w:rsidR="008B3385" w:rsidRPr="00F02C6D">
        <w:rPr>
          <w:color w:val="auto"/>
        </w:rPr>
        <w:t>’</w:t>
      </w:r>
      <w:r w:rsidRPr="00F02C6D">
        <w:rPr>
          <w:color w:val="auto"/>
        </w:rPr>
        <w:t xml:space="preserve">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t>
      </w:r>
      <w:r w:rsidRPr="00F02C6D">
        <w:rPr>
          <w:strike/>
          <w:color w:val="auto"/>
        </w:rPr>
        <w:t>wil</w:t>
      </w:r>
      <w:r w:rsidRPr="00F02C6D">
        <w:rPr>
          <w:color w:val="auto"/>
        </w:rPr>
        <w:t xml:space="preserve">l </w:t>
      </w:r>
      <w:r w:rsidR="00336C60" w:rsidRPr="00F02C6D">
        <w:rPr>
          <w:color w:val="auto"/>
          <w:u w:val="single"/>
        </w:rPr>
        <w:t>shall</w:t>
      </w:r>
      <w:r w:rsidR="00336C60" w:rsidRPr="00F02C6D">
        <w:rPr>
          <w:color w:val="auto"/>
        </w:rPr>
        <w:t xml:space="preserve"> </w:t>
      </w:r>
      <w:r w:rsidRPr="00F02C6D">
        <w:rPr>
          <w:color w:val="auto"/>
        </w:rPr>
        <w:t>be met.</w:t>
      </w:r>
    </w:p>
    <w:p w14:paraId="280846B0" w14:textId="1C9A85C1" w:rsidR="003F0237" w:rsidRPr="00F02C6D" w:rsidRDefault="003F0237" w:rsidP="000545B6">
      <w:pPr>
        <w:pStyle w:val="SectionBody"/>
        <w:rPr>
          <w:color w:val="auto"/>
        </w:rPr>
      </w:pPr>
      <w:r w:rsidRPr="00F02C6D">
        <w:rPr>
          <w:color w:val="auto"/>
        </w:rPr>
        <w:t>(3) Upon obtaining the actuary</w:t>
      </w:r>
      <w:r w:rsidR="008B3385" w:rsidRPr="00F02C6D">
        <w:rPr>
          <w:color w:val="auto"/>
        </w:rPr>
        <w:t>’</w:t>
      </w:r>
      <w:r w:rsidRPr="00F02C6D">
        <w:rPr>
          <w:color w:val="auto"/>
        </w:rPr>
        <w:t>s opinion, the finance board shall conduct one or more public hearings in each congressional district to receive public comment on the proposed financial plan, shall review the comments and shall finalize and approve the financial plan.</w:t>
      </w:r>
    </w:p>
    <w:p w14:paraId="608C8A67" w14:textId="66E64203" w:rsidR="003F0237" w:rsidRPr="00F02C6D" w:rsidRDefault="003F0237" w:rsidP="000545B6">
      <w:pPr>
        <w:pStyle w:val="SectionBody"/>
        <w:rPr>
          <w:color w:val="auto"/>
        </w:rPr>
      </w:pPr>
      <w:r w:rsidRPr="00F02C6D">
        <w:rPr>
          <w:color w:val="auto"/>
        </w:rPr>
        <w:t xml:space="preserve">(4) Any financial plan shall be designed to allow </w:t>
      </w:r>
      <w:r w:rsidR="00BD478A" w:rsidRPr="00F02C6D">
        <w:rPr>
          <w:color w:val="auto"/>
        </w:rPr>
        <w:t>30</w:t>
      </w:r>
      <w:r w:rsidRPr="00F02C6D">
        <w:rPr>
          <w:color w:val="auto"/>
        </w:rPr>
        <w:t xml:space="preserve"> days or less of accounts payable to be carried over into the next fiscal year. For each fiscal year, the Governor shall provide his or her estimate of total revenues to the finance board no later than October 15, of the preceding fiscal year: </w:t>
      </w:r>
      <w:r w:rsidRPr="00F02C6D">
        <w:rPr>
          <w:i/>
          <w:iCs/>
          <w:color w:val="auto"/>
        </w:rPr>
        <w:t>Provided,</w:t>
      </w:r>
      <w:r w:rsidRPr="00F02C6D">
        <w:rPr>
          <w:color w:val="auto"/>
        </w:rPr>
        <w:t xml:space="preserve"> That,</w:t>
      </w:r>
      <w:r w:rsidR="000433E4" w:rsidRPr="00F02C6D">
        <w:rPr>
          <w:color w:val="auto"/>
        </w:rPr>
        <w:t xml:space="preserve"> </w:t>
      </w:r>
      <w:r w:rsidR="000433E4" w:rsidRPr="00F02C6D">
        <w:rPr>
          <w:color w:val="auto"/>
          <w:u w:val="single"/>
        </w:rPr>
        <w:t>beginning October 15, 20</w:t>
      </w:r>
      <w:r w:rsidR="005E14D8" w:rsidRPr="00F02C6D">
        <w:rPr>
          <w:color w:val="auto"/>
          <w:u w:val="single"/>
        </w:rPr>
        <w:t>2</w:t>
      </w:r>
      <w:r w:rsidR="000433E4" w:rsidRPr="00F02C6D">
        <w:rPr>
          <w:color w:val="auto"/>
          <w:u w:val="single"/>
        </w:rPr>
        <w:t>1</w:t>
      </w:r>
      <w:r w:rsidR="000E0BBF" w:rsidRPr="00F02C6D">
        <w:rPr>
          <w:color w:val="auto"/>
          <w:u w:val="single"/>
        </w:rPr>
        <w:t>,</w:t>
      </w:r>
      <w:r w:rsidR="000433E4" w:rsidRPr="00F02C6D">
        <w:rPr>
          <w:color w:val="auto"/>
          <w:u w:val="single"/>
        </w:rPr>
        <w:t xml:space="preserve"> and each year thereafter, the Governor’s estimate of the total revenues shall include at least </w:t>
      </w:r>
      <w:r w:rsidR="00BD478A" w:rsidRPr="00F02C6D">
        <w:rPr>
          <w:color w:val="auto"/>
          <w:u w:val="single"/>
        </w:rPr>
        <w:t>80</w:t>
      </w:r>
      <w:r w:rsidR="000433E4" w:rsidRPr="00F02C6D">
        <w:rPr>
          <w:color w:val="auto"/>
          <w:u w:val="single"/>
        </w:rPr>
        <w:t xml:space="preserve"> percent of the projected growth in expenditures for employees health insurance as projected by the actuary: </w:t>
      </w:r>
      <w:r w:rsidR="000433E4" w:rsidRPr="00F02C6D">
        <w:rPr>
          <w:i/>
          <w:color w:val="auto"/>
          <w:u w:val="single"/>
        </w:rPr>
        <w:t>Provided, however</w:t>
      </w:r>
      <w:r w:rsidR="000433E4" w:rsidRPr="00F02C6D">
        <w:rPr>
          <w:color w:val="auto"/>
          <w:u w:val="single"/>
        </w:rPr>
        <w:t xml:space="preserve">, </w:t>
      </w:r>
      <w:r w:rsidR="00BD478A" w:rsidRPr="00F02C6D">
        <w:rPr>
          <w:color w:val="auto"/>
          <w:u w:val="single"/>
        </w:rPr>
        <w:t>T</w:t>
      </w:r>
      <w:r w:rsidR="000433E4" w:rsidRPr="00F02C6D">
        <w:rPr>
          <w:color w:val="auto"/>
          <w:u w:val="single"/>
        </w:rPr>
        <w:t>hat</w:t>
      </w:r>
      <w:r w:rsidRPr="00F02C6D">
        <w:rPr>
          <w:color w:val="auto"/>
        </w:rPr>
        <w:t xml:space="preserve"> for the prospective financial plans required by this section, the Governor shall estimate the revenues available for each fiscal year of the plans based on the estimated percentage of growth in general fund revenues. The finance board shall submit its final, approved financial plan, after obtaining the necessary actuary</w:t>
      </w:r>
      <w:r w:rsidR="008B3385" w:rsidRPr="00F02C6D">
        <w:rPr>
          <w:color w:val="auto"/>
        </w:rPr>
        <w:t>’</w:t>
      </w:r>
      <w:r w:rsidRPr="00F02C6D">
        <w:rPr>
          <w:color w:val="auto"/>
        </w:rPr>
        <w:t xml:space="preserve">s opinion and conducting one or more public hearings in each congressional district, to the Governor and to the Legislature no later than January 1, preceding the fiscal year. </w:t>
      </w:r>
      <w:r w:rsidR="0043084E" w:rsidRPr="00F02C6D">
        <w:rPr>
          <w:color w:val="auto"/>
        </w:rPr>
        <w:t xml:space="preserve">This estimated available revenue figure shall </w:t>
      </w:r>
      <w:r w:rsidR="0043084E" w:rsidRPr="00F02C6D">
        <w:rPr>
          <w:color w:val="auto"/>
          <w:u w:val="single"/>
        </w:rPr>
        <w:t xml:space="preserve">become final by the </w:t>
      </w:r>
      <w:r w:rsidR="007A4DD4" w:rsidRPr="00F02C6D">
        <w:rPr>
          <w:color w:val="auto"/>
          <w:u w:val="single"/>
        </w:rPr>
        <w:t>16</w:t>
      </w:r>
      <w:r w:rsidR="0043084E" w:rsidRPr="00F02C6D">
        <w:rPr>
          <w:color w:val="auto"/>
          <w:u w:val="single"/>
        </w:rPr>
        <w:t>th day after the first day of commencement of each legislative session.</w:t>
      </w:r>
      <w:r w:rsidR="0043084E" w:rsidRPr="00F02C6D">
        <w:rPr>
          <w:color w:val="auto"/>
        </w:rPr>
        <w:t xml:space="preserve"> </w:t>
      </w:r>
      <w:r w:rsidRPr="00F02C6D">
        <w:rPr>
          <w:color w:val="auto"/>
        </w:rPr>
        <w:t xml:space="preserve">The financial plan for a fiscal year </w:t>
      </w:r>
      <w:r w:rsidRPr="00F02C6D">
        <w:rPr>
          <w:color w:val="auto"/>
        </w:rPr>
        <w:lastRenderedPageBreak/>
        <w:t xml:space="preserve">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F02C6D">
        <w:rPr>
          <w:i/>
          <w:iCs/>
          <w:color w:val="auto"/>
        </w:rPr>
        <w:t>Provided,</w:t>
      </w:r>
      <w:r w:rsidRPr="00F02C6D">
        <w:rPr>
          <w:color w:val="auto"/>
        </w:rPr>
        <w:t xml:space="preserve"> That the financial statements and the accrual-based financial plan restatement </w:t>
      </w:r>
      <w:r w:rsidRPr="00F02C6D">
        <w:rPr>
          <w:strike/>
          <w:color w:val="auto"/>
        </w:rPr>
        <w:t>shall</w:t>
      </w:r>
      <w:r w:rsidRPr="00F02C6D">
        <w:rPr>
          <w:color w:val="auto"/>
        </w:rPr>
        <w:t xml:space="preserve"> </w:t>
      </w:r>
      <w:r w:rsidR="005E14D8" w:rsidRPr="00F02C6D">
        <w:rPr>
          <w:color w:val="auto"/>
          <w:u w:val="single"/>
        </w:rPr>
        <w:t>may</w:t>
      </w:r>
      <w:r w:rsidR="005E14D8" w:rsidRPr="00F02C6D">
        <w:rPr>
          <w:color w:val="auto"/>
        </w:rPr>
        <w:t xml:space="preserve"> </w:t>
      </w:r>
      <w:r w:rsidRPr="00F02C6D">
        <w:rPr>
          <w:color w:val="auto"/>
        </w:rPr>
        <w:t>not affect the approved financial plan.</w:t>
      </w:r>
    </w:p>
    <w:p w14:paraId="0AA681AA" w14:textId="1CA76217" w:rsidR="003F0237" w:rsidRPr="00F02C6D" w:rsidRDefault="003F0237" w:rsidP="000545B6">
      <w:pPr>
        <w:pStyle w:val="SectionBody"/>
        <w:rPr>
          <w:color w:val="auto"/>
        </w:rPr>
      </w:pPr>
      <w:r w:rsidRPr="00F02C6D">
        <w:rPr>
          <w:color w:val="auto"/>
        </w:rPr>
        <w:t xml:space="preserve">(e) The provisions of </w:t>
      </w:r>
      <w:r w:rsidR="007A4DD4" w:rsidRPr="00F02C6D">
        <w:rPr>
          <w:color w:val="auto"/>
        </w:rPr>
        <w:t>C</w:t>
      </w:r>
      <w:r w:rsidRPr="00F02C6D">
        <w:rPr>
          <w:color w:val="auto"/>
        </w:rPr>
        <w:t xml:space="preserve">hapter </w:t>
      </w:r>
      <w:r w:rsidR="007A4DD4" w:rsidRPr="00F02C6D">
        <w:rPr>
          <w:color w:val="auto"/>
        </w:rPr>
        <w:t>29A</w:t>
      </w:r>
      <w:r w:rsidRPr="00F02C6D">
        <w:rPr>
          <w:color w:val="auto"/>
        </w:rPr>
        <w:t xml:space="preserve"> of this code </w:t>
      </w:r>
      <w:r w:rsidR="005E14D8" w:rsidRPr="00F02C6D">
        <w:rPr>
          <w:strike/>
          <w:color w:val="auto"/>
        </w:rPr>
        <w:t>shall</w:t>
      </w:r>
      <w:r w:rsidR="005E14D8" w:rsidRPr="00F02C6D">
        <w:rPr>
          <w:color w:val="auto"/>
        </w:rPr>
        <w:t xml:space="preserve"> </w:t>
      </w:r>
      <w:r w:rsidR="005E14D8" w:rsidRPr="00F02C6D">
        <w:rPr>
          <w:color w:val="auto"/>
          <w:u w:val="single"/>
        </w:rPr>
        <w:t>may</w:t>
      </w:r>
      <w:r w:rsidRPr="00F02C6D">
        <w:rPr>
          <w:color w:val="auto"/>
        </w:rPr>
        <w:t xml:space="preserve"> not apply to the preparation, approval and implementation of the financial plans required by this section.</w:t>
      </w:r>
    </w:p>
    <w:p w14:paraId="30C90DFB" w14:textId="77777777" w:rsidR="003F0237" w:rsidRPr="00F02C6D" w:rsidRDefault="003F0237" w:rsidP="000545B6">
      <w:pPr>
        <w:pStyle w:val="SectionBody"/>
        <w:rPr>
          <w:color w:val="auto"/>
        </w:rPr>
      </w:pPr>
      <w:r w:rsidRPr="00F02C6D">
        <w:rPr>
          <w:color w:val="auto"/>
        </w:rPr>
        <w:t>(f)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2C2A2B01" w14:textId="4003B665" w:rsidR="0043084E" w:rsidRPr="00F02C6D" w:rsidRDefault="003F0237" w:rsidP="000545B6">
      <w:pPr>
        <w:pStyle w:val="SectionBody"/>
        <w:rPr>
          <w:rFonts w:cs="Arial"/>
          <w:color w:val="auto"/>
        </w:rPr>
      </w:pPr>
      <w:r w:rsidRPr="00F02C6D">
        <w:rPr>
          <w:color w:val="auto"/>
        </w:rPr>
        <w:t xml:space="preserve">(g) The prospective financial plans shall be based on the estimated revenues submitted in accordance with subdivision (4), subsection (d) of this section and shall include an average of the projected cost-sharing percentages of premiums and an average of the projected deductibles and copays for the various programs. 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w:t>
      </w:r>
      <w:r w:rsidRPr="00F02C6D">
        <w:rPr>
          <w:strike/>
          <w:color w:val="auto"/>
        </w:rPr>
        <w:t>and in each plan year thereafter</w:t>
      </w:r>
      <w:r w:rsidR="0043084E" w:rsidRPr="00F02C6D">
        <w:rPr>
          <w:color w:val="auto"/>
        </w:rPr>
        <w:t xml:space="preserve"> </w:t>
      </w:r>
      <w:r w:rsidR="0043084E" w:rsidRPr="00F02C6D">
        <w:rPr>
          <w:color w:val="auto"/>
          <w:u w:val="single"/>
        </w:rPr>
        <w:t>through the plan year commencing on July 1, 20</w:t>
      </w:r>
      <w:r w:rsidR="005E14D8" w:rsidRPr="00F02C6D">
        <w:rPr>
          <w:color w:val="auto"/>
          <w:u w:val="single"/>
        </w:rPr>
        <w:t>2</w:t>
      </w:r>
      <w:r w:rsidR="0043084E" w:rsidRPr="00F02C6D">
        <w:rPr>
          <w:color w:val="auto"/>
          <w:u w:val="single"/>
        </w:rPr>
        <w:t>1</w:t>
      </w:r>
      <w:r w:rsidR="007A4DD4" w:rsidRPr="00F02C6D">
        <w:rPr>
          <w:color w:val="auto"/>
          <w:u w:val="single"/>
        </w:rPr>
        <w:t>,</w:t>
      </w:r>
      <w:r w:rsidRPr="00F02C6D">
        <w:rPr>
          <w:color w:val="auto"/>
        </w:rPr>
        <w:t xml:space="preserve"> the aggregate premium cost-sharing percentages between employers and employees, including the amounts of any subsidization of retired employee benefits, shall be at a level of </w:t>
      </w:r>
      <w:r w:rsidR="00336C60" w:rsidRPr="00F02C6D">
        <w:rPr>
          <w:color w:val="auto"/>
        </w:rPr>
        <w:t>80</w:t>
      </w:r>
      <w:r w:rsidRPr="00F02C6D">
        <w:rPr>
          <w:color w:val="auto"/>
        </w:rPr>
        <w:t xml:space="preserve"> percent for the employer and </w:t>
      </w:r>
      <w:r w:rsidR="00336C60" w:rsidRPr="00F02C6D">
        <w:rPr>
          <w:color w:val="auto"/>
        </w:rPr>
        <w:t>20</w:t>
      </w:r>
      <w:r w:rsidRPr="00F02C6D">
        <w:rPr>
          <w:color w:val="auto"/>
        </w:rPr>
        <w:t xml:space="preserve"> percent for </w:t>
      </w:r>
      <w:r w:rsidRPr="00F02C6D">
        <w:rPr>
          <w:color w:val="auto"/>
        </w:rPr>
        <w:lastRenderedPageBreak/>
        <w:t xml:space="preserve">employees, except for the employers provided in </w:t>
      </w:r>
      <w:r w:rsidR="00336C60" w:rsidRPr="00F02C6D">
        <w:rPr>
          <w:color w:val="auto"/>
        </w:rPr>
        <w:t xml:space="preserve">§5-16-18(d) </w:t>
      </w:r>
      <w:r w:rsidRPr="00F02C6D">
        <w:rPr>
          <w:color w:val="auto"/>
        </w:rPr>
        <w:t xml:space="preserve">of this </w:t>
      </w:r>
      <w:r w:rsidR="00336C60" w:rsidRPr="00F02C6D">
        <w:rPr>
          <w:color w:val="auto"/>
        </w:rPr>
        <w:t>code</w:t>
      </w:r>
      <w:r w:rsidRPr="00F02C6D">
        <w:rPr>
          <w:color w:val="auto"/>
        </w:rPr>
        <w:t xml:space="preserve"> whose premium cost-sharing percentages shall be governed by that </w:t>
      </w:r>
      <w:r w:rsidRPr="00F02C6D">
        <w:rPr>
          <w:rFonts w:cs="Arial"/>
          <w:color w:val="auto"/>
        </w:rPr>
        <w:t>subsection.</w:t>
      </w:r>
      <w:r w:rsidR="005F0B69" w:rsidRPr="00F02C6D">
        <w:rPr>
          <w:rFonts w:cs="Arial"/>
          <w:color w:val="auto"/>
        </w:rPr>
        <w:t xml:space="preserve"> </w:t>
      </w:r>
      <w:r w:rsidR="0043084E" w:rsidRPr="00F02C6D">
        <w:rPr>
          <w:rFonts w:eastAsia="Times New Roman" w:cs="Arial"/>
          <w:color w:val="auto"/>
          <w:u w:val="single"/>
        </w:rPr>
        <w:t>Beginning with the plan year commencing on July 1, 202</w:t>
      </w:r>
      <w:r w:rsidR="005E14D8" w:rsidRPr="00F02C6D">
        <w:rPr>
          <w:rFonts w:eastAsia="Times New Roman" w:cs="Arial"/>
          <w:color w:val="auto"/>
          <w:u w:val="single"/>
        </w:rPr>
        <w:t>2</w:t>
      </w:r>
      <w:r w:rsidR="000E0BBF" w:rsidRPr="00F02C6D">
        <w:rPr>
          <w:rFonts w:eastAsia="Times New Roman" w:cs="Arial"/>
          <w:color w:val="auto"/>
          <w:u w:val="single"/>
        </w:rPr>
        <w:t>,</w:t>
      </w:r>
      <w:r w:rsidR="0043084E" w:rsidRPr="00F02C6D">
        <w:rPr>
          <w:rFonts w:eastAsia="Times New Roman" w:cs="Arial"/>
          <w:color w:val="auto"/>
          <w:u w:val="single"/>
        </w:rPr>
        <w:t xml:space="preserve"> and each year thereafter, the finance board </w:t>
      </w:r>
      <w:r w:rsidR="00336C60" w:rsidRPr="00F02C6D">
        <w:rPr>
          <w:rFonts w:eastAsia="Times New Roman" w:cs="Arial"/>
          <w:color w:val="auto"/>
          <w:u w:val="single"/>
        </w:rPr>
        <w:t>may</w:t>
      </w:r>
      <w:r w:rsidR="0043084E" w:rsidRPr="00F02C6D">
        <w:rPr>
          <w:rFonts w:eastAsia="Times New Roman" w:cs="Arial"/>
          <w:color w:val="auto"/>
          <w:u w:val="single"/>
        </w:rPr>
        <w:t xml:space="preserve"> not increase in the aggregate the employees’ premium and cost</w:t>
      </w:r>
      <w:r w:rsidR="007A4DD4" w:rsidRPr="00F02C6D">
        <w:rPr>
          <w:rFonts w:eastAsia="Times New Roman" w:cs="Arial"/>
          <w:color w:val="auto"/>
          <w:u w:val="single"/>
        </w:rPr>
        <w:t>-</w:t>
      </w:r>
      <w:r w:rsidR="0043084E" w:rsidRPr="00F02C6D">
        <w:rPr>
          <w:rFonts w:eastAsia="Times New Roman" w:cs="Arial"/>
          <w:color w:val="auto"/>
          <w:u w:val="single"/>
        </w:rPr>
        <w:t>sharing provisions that are in effect for the plan year commencing July 1, 20</w:t>
      </w:r>
      <w:r w:rsidR="005E14D8" w:rsidRPr="00F02C6D">
        <w:rPr>
          <w:rFonts w:eastAsia="Times New Roman" w:cs="Arial"/>
          <w:color w:val="auto"/>
          <w:u w:val="single"/>
        </w:rPr>
        <w:t>2</w:t>
      </w:r>
      <w:r w:rsidR="0043084E" w:rsidRPr="00F02C6D">
        <w:rPr>
          <w:rFonts w:eastAsia="Times New Roman" w:cs="Arial"/>
          <w:color w:val="auto"/>
          <w:u w:val="single"/>
        </w:rPr>
        <w:t>1</w:t>
      </w:r>
      <w:r w:rsidR="007A4DD4" w:rsidRPr="00F02C6D">
        <w:rPr>
          <w:rFonts w:eastAsia="Times New Roman" w:cs="Arial"/>
          <w:color w:val="auto"/>
          <w:u w:val="single"/>
        </w:rPr>
        <w:t>,</w:t>
      </w:r>
      <w:r w:rsidR="0043084E" w:rsidRPr="00F02C6D">
        <w:rPr>
          <w:rFonts w:eastAsia="Times New Roman" w:cs="Arial"/>
          <w:color w:val="auto"/>
          <w:u w:val="single"/>
        </w:rPr>
        <w:t xml:space="preserve"> other than adjustments for the projected growth in employees’ health insurance expenditures. For the plan year commencing on July 1, 202</w:t>
      </w:r>
      <w:r w:rsidR="005E14D8" w:rsidRPr="00F02C6D">
        <w:rPr>
          <w:rFonts w:eastAsia="Times New Roman" w:cs="Arial"/>
          <w:color w:val="auto"/>
          <w:u w:val="single"/>
        </w:rPr>
        <w:t>1</w:t>
      </w:r>
      <w:r w:rsidR="000E0BBF" w:rsidRPr="00F02C6D">
        <w:rPr>
          <w:rFonts w:eastAsia="Times New Roman" w:cs="Arial"/>
          <w:color w:val="auto"/>
          <w:u w:val="single"/>
        </w:rPr>
        <w:t>,</w:t>
      </w:r>
      <w:r w:rsidR="0043084E" w:rsidRPr="00F02C6D">
        <w:rPr>
          <w:rFonts w:eastAsia="Times New Roman" w:cs="Arial"/>
          <w:color w:val="auto"/>
          <w:u w:val="single"/>
        </w:rPr>
        <w:t xml:space="preserve"> and each year thereafter, the Legislature shall appropriate in general and special revenues at least </w:t>
      </w:r>
      <w:r w:rsidR="007A4DD4" w:rsidRPr="00F02C6D">
        <w:rPr>
          <w:rFonts w:eastAsia="Times New Roman" w:cs="Arial"/>
          <w:color w:val="auto"/>
          <w:u w:val="single"/>
        </w:rPr>
        <w:t>80</w:t>
      </w:r>
      <w:r w:rsidR="0043084E" w:rsidRPr="00F02C6D">
        <w:rPr>
          <w:rFonts w:eastAsia="Times New Roman" w:cs="Arial"/>
          <w:color w:val="auto"/>
          <w:u w:val="single"/>
        </w:rPr>
        <w:t xml:space="preserve"> percent of the projected growth in employees’ health insurance expenditures as determined by the actuary</w:t>
      </w:r>
      <w:r w:rsidR="005F0B69" w:rsidRPr="00F02C6D">
        <w:rPr>
          <w:rFonts w:eastAsia="Times New Roman" w:cs="Arial"/>
          <w:color w:val="auto"/>
          <w:u w:val="single"/>
        </w:rPr>
        <w:t>:</w:t>
      </w:r>
      <w:r w:rsidR="0043084E" w:rsidRPr="00F02C6D">
        <w:rPr>
          <w:rFonts w:eastAsia="Times New Roman" w:cs="Arial"/>
          <w:color w:val="auto"/>
          <w:u w:val="single"/>
        </w:rPr>
        <w:t xml:space="preserve"> </w:t>
      </w:r>
      <w:r w:rsidR="0043084E" w:rsidRPr="00F02C6D">
        <w:rPr>
          <w:rFonts w:eastAsia="Times New Roman" w:cs="Arial"/>
          <w:i/>
          <w:color w:val="auto"/>
          <w:u w:val="single"/>
        </w:rPr>
        <w:t xml:space="preserve">Provided, </w:t>
      </w:r>
      <w:r w:rsidR="0043084E" w:rsidRPr="00F02C6D">
        <w:rPr>
          <w:rFonts w:eastAsia="Times New Roman" w:cs="Arial"/>
          <w:iCs/>
          <w:color w:val="auto"/>
          <w:u w:val="single"/>
        </w:rPr>
        <w:t xml:space="preserve">That </w:t>
      </w:r>
      <w:r w:rsidR="0043084E" w:rsidRPr="00F02C6D">
        <w:rPr>
          <w:rFonts w:eastAsia="Times New Roman" w:cs="Arial"/>
          <w:color w:val="auto"/>
          <w:u w:val="single"/>
        </w:rPr>
        <w:t xml:space="preserve">if the Legislature has appropriated more than </w:t>
      </w:r>
      <w:r w:rsidR="007A4DD4" w:rsidRPr="00F02C6D">
        <w:rPr>
          <w:rFonts w:eastAsia="Times New Roman" w:cs="Arial"/>
          <w:color w:val="auto"/>
          <w:u w:val="single"/>
        </w:rPr>
        <w:t>80</w:t>
      </w:r>
      <w:r w:rsidR="0043084E" w:rsidRPr="00F02C6D">
        <w:rPr>
          <w:rFonts w:eastAsia="Times New Roman" w:cs="Arial"/>
          <w:color w:val="auto"/>
          <w:u w:val="single"/>
        </w:rPr>
        <w:t xml:space="preserve"> percent in the previous year, the Legislature can reduce their share of the growth in employees’ health insurance expenditures by the percent funded by Legislature over </w:t>
      </w:r>
      <w:r w:rsidR="00BB534A" w:rsidRPr="00F02C6D">
        <w:rPr>
          <w:rFonts w:eastAsia="Times New Roman" w:cs="Arial"/>
          <w:color w:val="auto"/>
          <w:u w:val="single"/>
        </w:rPr>
        <w:t>80</w:t>
      </w:r>
      <w:r w:rsidR="0043084E" w:rsidRPr="00F02C6D">
        <w:rPr>
          <w:rFonts w:eastAsia="Times New Roman" w:cs="Arial"/>
          <w:color w:val="auto"/>
          <w:u w:val="single"/>
        </w:rPr>
        <w:t xml:space="preserve"> percent for one year</w:t>
      </w:r>
      <w:r w:rsidR="005F0B69" w:rsidRPr="00F02C6D">
        <w:rPr>
          <w:rFonts w:eastAsia="Times New Roman" w:cs="Arial"/>
          <w:color w:val="auto"/>
          <w:u w:val="single"/>
        </w:rPr>
        <w:t>:</w:t>
      </w:r>
      <w:r w:rsidR="0043084E" w:rsidRPr="00F02C6D">
        <w:rPr>
          <w:rFonts w:eastAsia="Times New Roman" w:cs="Arial"/>
          <w:color w:val="auto"/>
          <w:u w:val="single"/>
        </w:rPr>
        <w:t xml:space="preserve"> </w:t>
      </w:r>
      <w:r w:rsidR="0043084E" w:rsidRPr="00F02C6D">
        <w:rPr>
          <w:rFonts w:eastAsia="Times New Roman" w:cs="Arial"/>
          <w:i/>
          <w:color w:val="auto"/>
          <w:u w:val="single"/>
        </w:rPr>
        <w:t>Provided, however</w:t>
      </w:r>
      <w:r w:rsidR="0043084E" w:rsidRPr="00F02C6D">
        <w:rPr>
          <w:rFonts w:eastAsia="Times New Roman" w:cs="Arial"/>
          <w:color w:val="auto"/>
          <w:u w:val="single"/>
        </w:rPr>
        <w:t xml:space="preserve">, That the Legislature’s share of the growth in employees’ health insurance expenditures may not be less than </w:t>
      </w:r>
      <w:r w:rsidR="00BB534A" w:rsidRPr="00F02C6D">
        <w:rPr>
          <w:rFonts w:eastAsia="Times New Roman" w:cs="Arial"/>
          <w:color w:val="auto"/>
          <w:u w:val="single"/>
        </w:rPr>
        <w:t>70</w:t>
      </w:r>
      <w:r w:rsidR="0043084E" w:rsidRPr="00F02C6D">
        <w:rPr>
          <w:rFonts w:eastAsia="Times New Roman" w:cs="Arial"/>
          <w:color w:val="auto"/>
          <w:u w:val="single"/>
        </w:rPr>
        <w:t xml:space="preserve"> percent. The employees’ share of the projected growth in employees’ health insurance expenditures as determined by the actuary may not be more than </w:t>
      </w:r>
      <w:r w:rsidR="00BB534A" w:rsidRPr="00F02C6D">
        <w:rPr>
          <w:rFonts w:eastAsia="Times New Roman" w:cs="Arial"/>
          <w:color w:val="auto"/>
          <w:u w:val="single"/>
        </w:rPr>
        <w:t>20</w:t>
      </w:r>
      <w:r w:rsidR="0043084E" w:rsidRPr="00F02C6D">
        <w:rPr>
          <w:rFonts w:eastAsia="Times New Roman" w:cs="Arial"/>
          <w:color w:val="auto"/>
          <w:u w:val="single"/>
        </w:rPr>
        <w:t xml:space="preserve"> percent. The finance board shall establish the employees’ </w:t>
      </w:r>
      <w:r w:rsidR="00BB534A" w:rsidRPr="00F02C6D">
        <w:rPr>
          <w:rFonts w:eastAsia="Times New Roman" w:cs="Arial"/>
          <w:color w:val="auto"/>
          <w:u w:val="single"/>
        </w:rPr>
        <w:t>20</w:t>
      </w:r>
      <w:r w:rsidR="0043084E" w:rsidRPr="00F02C6D">
        <w:rPr>
          <w:rFonts w:eastAsia="Times New Roman" w:cs="Arial"/>
          <w:color w:val="auto"/>
          <w:u w:val="single"/>
        </w:rPr>
        <w:t xml:space="preserve"> percent share of projected increases in employees’ health insurance expenditures through increases in any combination of premiums, </w:t>
      </w:r>
      <w:r w:rsidR="00324414" w:rsidRPr="00F02C6D">
        <w:rPr>
          <w:rFonts w:eastAsia="Times New Roman" w:cs="Arial"/>
          <w:color w:val="auto"/>
          <w:u w:val="single"/>
        </w:rPr>
        <w:t xml:space="preserve">reduction in benefits, </w:t>
      </w:r>
      <w:r w:rsidR="0043084E" w:rsidRPr="00F02C6D">
        <w:rPr>
          <w:rFonts w:eastAsia="Times New Roman" w:cs="Arial"/>
          <w:color w:val="auto"/>
          <w:u w:val="single"/>
        </w:rPr>
        <w:t>deductibles, copayments, co-insurances, out-of-pocket maximums or incentives for wellness.</w:t>
      </w:r>
    </w:p>
    <w:p w14:paraId="68C09084" w14:textId="5E6EA943" w:rsidR="003F0237" w:rsidRPr="00F02C6D" w:rsidRDefault="0043084E" w:rsidP="00324414">
      <w:pPr>
        <w:pStyle w:val="SectionBody"/>
        <w:rPr>
          <w:color w:val="auto"/>
        </w:rPr>
      </w:pPr>
      <w:r w:rsidRPr="00F02C6D">
        <w:rPr>
          <w:color w:val="auto"/>
          <w:u w:val="single"/>
        </w:rPr>
        <w:t>(h)</w:t>
      </w:r>
      <w:r w:rsidRPr="00F02C6D">
        <w:rPr>
          <w:color w:val="auto"/>
        </w:rPr>
        <w:t xml:space="preserve"> </w:t>
      </w:r>
      <w:r w:rsidR="003F0237" w:rsidRPr="00F02C6D">
        <w:rPr>
          <w:color w:val="auto"/>
        </w:rPr>
        <w:t xml:space="preserve">After the submission of the initial prospective plan, the board may not increase costs to the participating employers or change the average of the premiums, deductibles and copays for employees, except in the event of a true emergency as provided in this section: </w:t>
      </w:r>
      <w:r w:rsidR="003F0237" w:rsidRPr="00F02C6D">
        <w:rPr>
          <w:i/>
          <w:iCs/>
          <w:color w:val="auto"/>
        </w:rPr>
        <w:t>Provided,</w:t>
      </w:r>
      <w:r w:rsidR="003F0237" w:rsidRPr="00F02C6D">
        <w:rPr>
          <w:color w:val="auto"/>
        </w:rPr>
        <w:t xml:space="preserve"> That if the board invokes the emergency provisions, the cost shall be borne between the employers and employees in proportion to the cost-sharing ratio for that plan year: </w:t>
      </w:r>
      <w:r w:rsidR="003F0237" w:rsidRPr="00F02C6D">
        <w:rPr>
          <w:i/>
          <w:iCs/>
          <w:color w:val="auto"/>
        </w:rPr>
        <w:t>Provided, however,</w:t>
      </w:r>
      <w:r w:rsidR="003F0237" w:rsidRPr="00F02C6D">
        <w:rPr>
          <w:color w:val="auto"/>
        </w:rPr>
        <w:t xml:space="preserve"> That for purposes of this section, </w:t>
      </w:r>
      <w:r w:rsidR="00BB534A" w:rsidRPr="00F02C6D">
        <w:rPr>
          <w:color w:val="auto"/>
        </w:rPr>
        <w:t>“</w:t>
      </w:r>
      <w:r w:rsidR="003F0237" w:rsidRPr="00F02C6D">
        <w:rPr>
          <w:color w:val="auto"/>
        </w:rPr>
        <w:t>emergency</w:t>
      </w:r>
      <w:r w:rsidR="00BB534A" w:rsidRPr="00F02C6D">
        <w:rPr>
          <w:color w:val="auto"/>
        </w:rPr>
        <w:t>”</w:t>
      </w:r>
      <w:r w:rsidR="003F0237" w:rsidRPr="00F02C6D">
        <w:rPr>
          <w:color w:val="auto"/>
        </w:rPr>
        <w:t xml:space="preserve"> means that the most recent projections demonstrate that plan expenses will exceed plan revenues by more than one percent in any plan year</w:t>
      </w:r>
      <w:r w:rsidR="003F0237" w:rsidRPr="00F02C6D">
        <w:rPr>
          <w:i/>
          <w:iCs/>
          <w:color w:val="auto"/>
        </w:rPr>
        <w:t>: Provided further,</w:t>
      </w:r>
      <w:r w:rsidR="003F0237" w:rsidRPr="00F02C6D">
        <w:rPr>
          <w:color w:val="auto"/>
        </w:rPr>
        <w:t xml:space="preserve"> That the aggregate premium cost-sharing percentages between employers and employees, including the amounts of any subsidization of retired employee benefits, may be </w:t>
      </w:r>
      <w:r w:rsidR="003F0237" w:rsidRPr="00F02C6D">
        <w:rPr>
          <w:color w:val="auto"/>
        </w:rPr>
        <w:lastRenderedPageBreak/>
        <w:t>offset, in part, by a legislative appropriation for that purpose.</w:t>
      </w:r>
    </w:p>
    <w:p w14:paraId="3E74F8E9" w14:textId="57B0DF9E" w:rsidR="003F0237" w:rsidRPr="00F02C6D" w:rsidRDefault="003F0237" w:rsidP="00324414">
      <w:pPr>
        <w:pStyle w:val="SectionBody"/>
        <w:rPr>
          <w:color w:val="auto"/>
        </w:rPr>
      </w:pPr>
      <w:r w:rsidRPr="00F02C6D">
        <w:rPr>
          <w:strike/>
          <w:color w:val="auto"/>
        </w:rPr>
        <w:t>(h)</w:t>
      </w:r>
      <w:r w:rsidRPr="00F02C6D">
        <w:rPr>
          <w:color w:val="auto"/>
        </w:rPr>
        <w:t xml:space="preserve"> </w:t>
      </w:r>
      <w:r w:rsidR="0043084E" w:rsidRPr="00F02C6D">
        <w:rPr>
          <w:color w:val="auto"/>
          <w:u w:val="single"/>
        </w:rPr>
        <w:t>(i)</w:t>
      </w:r>
      <w:r w:rsidR="0043084E" w:rsidRPr="00F02C6D">
        <w:rPr>
          <w:color w:val="auto"/>
        </w:rPr>
        <w:t xml:space="preserve"> </w:t>
      </w:r>
      <w:r w:rsidRPr="00F02C6D">
        <w:rPr>
          <w:color w:val="auto"/>
        </w:rPr>
        <w:t>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w:t>
      </w:r>
      <w:r w:rsidR="006F0475" w:rsidRPr="00F02C6D">
        <w:rPr>
          <w:color w:val="auto"/>
        </w:rPr>
        <w:t xml:space="preserve">. </w:t>
      </w:r>
      <w:r w:rsidRPr="00F02C6D">
        <w:rPr>
          <w:color w:val="auto"/>
        </w:rPr>
        <w:t>The finance board may not increase the types and levels of cost to employees during its quarterly review except in the event of a true emergency.</w:t>
      </w:r>
    </w:p>
    <w:p w14:paraId="287DDE22" w14:textId="2698860E" w:rsidR="003F0237" w:rsidRPr="00F02C6D" w:rsidRDefault="003F0237" w:rsidP="000545B6">
      <w:pPr>
        <w:pStyle w:val="SectionBody"/>
        <w:rPr>
          <w:color w:val="auto"/>
        </w:rPr>
      </w:pPr>
      <w:r w:rsidRPr="00F02C6D">
        <w:rPr>
          <w:strike/>
          <w:color w:val="auto"/>
        </w:rPr>
        <w:t>(i)</w:t>
      </w:r>
      <w:r w:rsidRPr="00F02C6D">
        <w:rPr>
          <w:color w:val="auto"/>
        </w:rPr>
        <w:t xml:space="preserve"> </w:t>
      </w:r>
      <w:r w:rsidR="0043084E" w:rsidRPr="00F02C6D">
        <w:rPr>
          <w:color w:val="auto"/>
          <w:u w:val="single"/>
        </w:rPr>
        <w:t>(j)</w:t>
      </w:r>
      <w:r w:rsidR="0043084E" w:rsidRPr="00F02C6D">
        <w:rPr>
          <w:color w:val="auto"/>
        </w:rPr>
        <w:t xml:space="preserve"> </w:t>
      </w:r>
      <w:r w:rsidRPr="00F02C6D">
        <w:rPr>
          <w:color w:val="auto"/>
        </w:rPr>
        <w:t xml:space="preserve">For any fiscal year in which legislative appropriations differ from the Governor's estimate of general and special revenues available to the agency, the finance board shall, within </w:t>
      </w:r>
      <w:r w:rsidR="00BB534A" w:rsidRPr="00F02C6D">
        <w:rPr>
          <w:color w:val="auto"/>
        </w:rPr>
        <w:t>30</w:t>
      </w:r>
      <w:r w:rsidRPr="00F02C6D">
        <w:rPr>
          <w:color w:val="auto"/>
        </w:rPr>
        <w:t xml:space="preserve"> days after passage of the budget bill, make any modifications to the plan necessary to ensure that the total financial requirements of the agency for the current fiscal year are met.</w:t>
      </w:r>
    </w:p>
    <w:p w14:paraId="7FBF8FDF" w14:textId="77777777" w:rsidR="00C33014" w:rsidRPr="00422979" w:rsidRDefault="00C33014" w:rsidP="00CC1F3B">
      <w:pPr>
        <w:pStyle w:val="Note"/>
        <w:rPr>
          <w:color w:val="auto"/>
        </w:rPr>
      </w:pPr>
    </w:p>
    <w:p w14:paraId="72FF4FD3" w14:textId="7E1AAA84" w:rsidR="006865E9" w:rsidRPr="00422979" w:rsidRDefault="00CF1DCA" w:rsidP="00CC1F3B">
      <w:pPr>
        <w:pStyle w:val="Note"/>
        <w:rPr>
          <w:color w:val="auto"/>
        </w:rPr>
      </w:pPr>
      <w:r w:rsidRPr="00422979">
        <w:rPr>
          <w:color w:val="auto"/>
        </w:rPr>
        <w:t>NOTE: The</w:t>
      </w:r>
      <w:r w:rsidR="006865E9" w:rsidRPr="00422979">
        <w:rPr>
          <w:color w:val="auto"/>
        </w:rPr>
        <w:t xml:space="preserve"> purpose of this bill is to </w:t>
      </w:r>
      <w:r w:rsidR="00233C20" w:rsidRPr="00422979">
        <w:rPr>
          <w:color w:val="auto"/>
        </w:rPr>
        <w:t>effectuate the recommendations of the Governor</w:t>
      </w:r>
      <w:r w:rsidR="00D1521B" w:rsidRPr="00D1521B">
        <w:rPr>
          <w:color w:val="00B0F0"/>
          <w:u w:val="single"/>
        </w:rPr>
        <w:t>’</w:t>
      </w:r>
      <w:r w:rsidR="00233C20" w:rsidRPr="00422979">
        <w:rPr>
          <w:color w:val="auto"/>
        </w:rPr>
        <w:t xml:space="preserve">s Task Force on PEIA recommendation on altering the method of calculation of the 80-20 </w:t>
      </w:r>
      <w:r w:rsidR="005C7ADA" w:rsidRPr="00422979">
        <w:rPr>
          <w:color w:val="auto"/>
        </w:rPr>
        <w:t xml:space="preserve">employer/employee </w:t>
      </w:r>
      <w:r w:rsidR="00233C20" w:rsidRPr="00422979">
        <w:rPr>
          <w:color w:val="auto"/>
        </w:rPr>
        <w:t xml:space="preserve">match that is required under current law for </w:t>
      </w:r>
      <w:r w:rsidR="005C7ADA" w:rsidRPr="00422979">
        <w:rPr>
          <w:color w:val="auto"/>
        </w:rPr>
        <w:t xml:space="preserve">calculation of payments for </w:t>
      </w:r>
      <w:r w:rsidR="00233C20" w:rsidRPr="00422979">
        <w:rPr>
          <w:color w:val="auto"/>
        </w:rPr>
        <w:t>PEIA premiums.</w:t>
      </w:r>
    </w:p>
    <w:p w14:paraId="47A64E8F" w14:textId="600C8C40" w:rsidR="006865E9" w:rsidRPr="00422979" w:rsidRDefault="00AE48A0" w:rsidP="00CC1F3B">
      <w:pPr>
        <w:pStyle w:val="Note"/>
        <w:rPr>
          <w:color w:val="auto"/>
        </w:rPr>
      </w:pPr>
      <w:r w:rsidRPr="00422979">
        <w:rPr>
          <w:color w:val="auto"/>
        </w:rPr>
        <w:t>Strike-throughs indicate language that would be stricken from a heading or the present law</w:t>
      </w:r>
      <w:r w:rsidR="00D1521B">
        <w:rPr>
          <w:color w:val="auto"/>
        </w:rPr>
        <w:t>,</w:t>
      </w:r>
      <w:r w:rsidRPr="00422979">
        <w:rPr>
          <w:color w:val="auto"/>
        </w:rPr>
        <w:t xml:space="preserve"> and underscoring indicates new language that would be added.</w:t>
      </w:r>
    </w:p>
    <w:sectPr w:rsidR="006865E9" w:rsidRPr="00422979" w:rsidSect="008154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0017" w14:textId="77777777" w:rsidR="002C2BA0" w:rsidRPr="00B844FE" w:rsidRDefault="002C2BA0" w:rsidP="00B844FE">
      <w:r>
        <w:separator/>
      </w:r>
    </w:p>
  </w:endnote>
  <w:endnote w:type="continuationSeparator" w:id="0">
    <w:p w14:paraId="3B08EDE8" w14:textId="77777777" w:rsidR="002C2BA0" w:rsidRPr="00B844FE" w:rsidRDefault="002C2B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2F32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BA80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2FF5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63070" w14:textId="77777777" w:rsidR="002C2BA0" w:rsidRPr="00B844FE" w:rsidRDefault="002C2BA0" w:rsidP="00B844FE">
      <w:r>
        <w:separator/>
      </w:r>
    </w:p>
  </w:footnote>
  <w:footnote w:type="continuationSeparator" w:id="0">
    <w:p w14:paraId="2B22F832" w14:textId="77777777" w:rsidR="002C2BA0" w:rsidRPr="00B844FE" w:rsidRDefault="002C2B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95FF" w14:textId="77777777" w:rsidR="002A0269" w:rsidRPr="00B844FE" w:rsidRDefault="00E644C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8DD9" w14:textId="27C2CEBF" w:rsidR="00C33014" w:rsidRPr="00C33014" w:rsidRDefault="00AE48A0" w:rsidP="000573A9">
    <w:pPr>
      <w:pStyle w:val="HeaderStyle"/>
    </w:pPr>
    <w:r>
      <w:t>I</w:t>
    </w:r>
    <w:r w:rsidR="001A66B7">
      <w:t xml:space="preserve">ntr </w:t>
    </w:r>
    <w:r w:rsidR="0081544B">
      <w:t>HB</w:t>
    </w:r>
    <w:sdt>
      <w:sdtPr>
        <w:tag w:val="BNumWH"/>
        <w:id w:val="138549797"/>
        <w:placeholder>
          <w:docPart w:val="A44AEBB4C43348C7A73BC9C477F29B63"/>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text/>
      </w:sdtPr>
      <w:sdtEndPr/>
      <w:sdtContent>
        <w:r w:rsidR="00E6182C">
          <w:t>20</w:t>
        </w:r>
        <w:r w:rsidR="005E14D8">
          <w:t>2</w:t>
        </w:r>
        <w:r w:rsidR="00E6182C">
          <w:t>1R</w:t>
        </w:r>
        <w:r w:rsidR="005E14D8">
          <w:t>1577</w:t>
        </w:r>
      </w:sdtContent>
    </w:sdt>
  </w:p>
  <w:p w14:paraId="1A938B7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E841" w14:textId="391719B3" w:rsidR="002A0269" w:rsidRPr="002A0269" w:rsidRDefault="00E644C7" w:rsidP="00CC1F3B">
    <w:pPr>
      <w:pStyle w:val="HeaderStyle"/>
    </w:pPr>
    <w:sdt>
      <w:sdtPr>
        <w:tag w:val="BNumWH"/>
        <w:id w:val="-1890952866"/>
        <w:placeholder>
          <w:docPart w:val="F3A81A681D704EE68488B7773FB060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6182C">
          <w:t>20</w:t>
        </w:r>
        <w:r w:rsidR="005E14D8">
          <w:t>2</w:t>
        </w:r>
        <w:r w:rsidR="00E6182C">
          <w:t>1R</w:t>
        </w:r>
        <w:r w:rsidR="005E14D8">
          <w:t>1577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s7S0sDA2MzcxMjVS0lEKTi0uzszPAykwrAUArC/zBywAAAA="/>
  </w:docVars>
  <w:rsids>
    <w:rsidRoot w:val="000E3912"/>
    <w:rsid w:val="0000526A"/>
    <w:rsid w:val="000433E4"/>
    <w:rsid w:val="000573A9"/>
    <w:rsid w:val="00085D22"/>
    <w:rsid w:val="000C5C77"/>
    <w:rsid w:val="000D65B1"/>
    <w:rsid w:val="000E0BBF"/>
    <w:rsid w:val="000E3912"/>
    <w:rsid w:val="0010070F"/>
    <w:rsid w:val="0015112E"/>
    <w:rsid w:val="001552E7"/>
    <w:rsid w:val="001566B4"/>
    <w:rsid w:val="00184EE7"/>
    <w:rsid w:val="001A66B7"/>
    <w:rsid w:val="001C279E"/>
    <w:rsid w:val="001D3323"/>
    <w:rsid w:val="001D459E"/>
    <w:rsid w:val="00233C20"/>
    <w:rsid w:val="0027011C"/>
    <w:rsid w:val="00274200"/>
    <w:rsid w:val="00275740"/>
    <w:rsid w:val="002A0269"/>
    <w:rsid w:val="002A1E26"/>
    <w:rsid w:val="002B6D11"/>
    <w:rsid w:val="002C2BA0"/>
    <w:rsid w:val="00303684"/>
    <w:rsid w:val="003143F5"/>
    <w:rsid w:val="00314854"/>
    <w:rsid w:val="00324414"/>
    <w:rsid w:val="00336C60"/>
    <w:rsid w:val="00394191"/>
    <w:rsid w:val="003C51CD"/>
    <w:rsid w:val="003F0237"/>
    <w:rsid w:val="00422979"/>
    <w:rsid w:val="0043084E"/>
    <w:rsid w:val="004368E0"/>
    <w:rsid w:val="00454885"/>
    <w:rsid w:val="0046655A"/>
    <w:rsid w:val="004C13DD"/>
    <w:rsid w:val="004E3441"/>
    <w:rsid w:val="00500579"/>
    <w:rsid w:val="00560DD0"/>
    <w:rsid w:val="00567D6B"/>
    <w:rsid w:val="005A5366"/>
    <w:rsid w:val="005C7ADA"/>
    <w:rsid w:val="005E14D8"/>
    <w:rsid w:val="005F0B69"/>
    <w:rsid w:val="006369EB"/>
    <w:rsid w:val="00637E73"/>
    <w:rsid w:val="00670321"/>
    <w:rsid w:val="006865E9"/>
    <w:rsid w:val="00691F3E"/>
    <w:rsid w:val="00694BFB"/>
    <w:rsid w:val="006A106B"/>
    <w:rsid w:val="006C523D"/>
    <w:rsid w:val="006D4036"/>
    <w:rsid w:val="006F0475"/>
    <w:rsid w:val="00752690"/>
    <w:rsid w:val="007725B9"/>
    <w:rsid w:val="00796EAF"/>
    <w:rsid w:val="007A4DD4"/>
    <w:rsid w:val="007A5259"/>
    <w:rsid w:val="007A7081"/>
    <w:rsid w:val="007F1CF5"/>
    <w:rsid w:val="0081544B"/>
    <w:rsid w:val="00832E7F"/>
    <w:rsid w:val="00834EDE"/>
    <w:rsid w:val="008736AA"/>
    <w:rsid w:val="0088407A"/>
    <w:rsid w:val="008A583E"/>
    <w:rsid w:val="008B3385"/>
    <w:rsid w:val="008D275D"/>
    <w:rsid w:val="00980327"/>
    <w:rsid w:val="00986478"/>
    <w:rsid w:val="00990BB6"/>
    <w:rsid w:val="009A36CB"/>
    <w:rsid w:val="009B5557"/>
    <w:rsid w:val="009F1067"/>
    <w:rsid w:val="00A31E01"/>
    <w:rsid w:val="00A527AD"/>
    <w:rsid w:val="00A718CF"/>
    <w:rsid w:val="00AE48A0"/>
    <w:rsid w:val="00AE61BE"/>
    <w:rsid w:val="00B16F25"/>
    <w:rsid w:val="00B24422"/>
    <w:rsid w:val="00B66B81"/>
    <w:rsid w:val="00B67D69"/>
    <w:rsid w:val="00B80C20"/>
    <w:rsid w:val="00B844FE"/>
    <w:rsid w:val="00B86B4F"/>
    <w:rsid w:val="00BA1F84"/>
    <w:rsid w:val="00BA3CE1"/>
    <w:rsid w:val="00BB534A"/>
    <w:rsid w:val="00BC562B"/>
    <w:rsid w:val="00BD478A"/>
    <w:rsid w:val="00BE0460"/>
    <w:rsid w:val="00C0151E"/>
    <w:rsid w:val="00C33014"/>
    <w:rsid w:val="00C33434"/>
    <w:rsid w:val="00C34869"/>
    <w:rsid w:val="00C42EB6"/>
    <w:rsid w:val="00C712AD"/>
    <w:rsid w:val="00C85096"/>
    <w:rsid w:val="00CB20EF"/>
    <w:rsid w:val="00CC1F3B"/>
    <w:rsid w:val="00CD12CB"/>
    <w:rsid w:val="00CD36CF"/>
    <w:rsid w:val="00CF1DCA"/>
    <w:rsid w:val="00D1521B"/>
    <w:rsid w:val="00D47BFC"/>
    <w:rsid w:val="00D579FC"/>
    <w:rsid w:val="00D81C16"/>
    <w:rsid w:val="00D91588"/>
    <w:rsid w:val="00DE526B"/>
    <w:rsid w:val="00DF199D"/>
    <w:rsid w:val="00DF3DAD"/>
    <w:rsid w:val="00E01542"/>
    <w:rsid w:val="00E04E3B"/>
    <w:rsid w:val="00E224D1"/>
    <w:rsid w:val="00E365F1"/>
    <w:rsid w:val="00E6182C"/>
    <w:rsid w:val="00E62F48"/>
    <w:rsid w:val="00E644C7"/>
    <w:rsid w:val="00E831B3"/>
    <w:rsid w:val="00E95FBC"/>
    <w:rsid w:val="00EE70CB"/>
    <w:rsid w:val="00F02C6D"/>
    <w:rsid w:val="00F41CA2"/>
    <w:rsid w:val="00F443C0"/>
    <w:rsid w:val="00F62EFB"/>
    <w:rsid w:val="00F939A4"/>
    <w:rsid w:val="00FA7B09"/>
    <w:rsid w:val="00FC204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206612"/>
  <w15:chartTrackingRefBased/>
  <w15:docId w15:val="{851C45D1-1FBA-4D6F-BDB9-BC24721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237"/>
    <w:rPr>
      <w:rFonts w:eastAsia="Calibri"/>
      <w:b/>
      <w:caps/>
      <w:color w:val="000000"/>
      <w:sz w:val="24"/>
    </w:rPr>
  </w:style>
  <w:style w:type="character" w:customStyle="1" w:styleId="SectionBodyChar">
    <w:name w:val="Section Body Char"/>
    <w:link w:val="SectionBody"/>
    <w:rsid w:val="003F0237"/>
    <w:rPr>
      <w:rFonts w:eastAsia="Calibri"/>
      <w:color w:val="000000"/>
    </w:rPr>
  </w:style>
  <w:style w:type="character" w:customStyle="1" w:styleId="SectionHeadingChar">
    <w:name w:val="Section Heading Char"/>
    <w:link w:val="SectionHeading"/>
    <w:rsid w:val="003F0237"/>
    <w:rPr>
      <w:rFonts w:eastAsia="Calibri"/>
      <w:b/>
      <w:color w:val="000000"/>
    </w:rPr>
  </w:style>
  <w:style w:type="paragraph" w:styleId="BalloonText">
    <w:name w:val="Balloon Text"/>
    <w:basedOn w:val="Normal"/>
    <w:link w:val="BalloonTextChar"/>
    <w:uiPriority w:val="99"/>
    <w:semiHidden/>
    <w:unhideWhenUsed/>
    <w:locked/>
    <w:rsid w:val="008A58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44AEBB4C43348C7A73BC9C477F29B63"/>
        <w:category>
          <w:name w:val="General"/>
          <w:gallery w:val="placeholder"/>
        </w:category>
        <w:types>
          <w:type w:val="bbPlcHdr"/>
        </w:types>
        <w:behaviors>
          <w:behavior w:val="content"/>
        </w:behaviors>
        <w:guid w:val="{316C6D02-1ECD-444E-B724-B660EF60F669}"/>
      </w:docPartPr>
      <w:docPartBody>
        <w:p w:rsidR="00C57B76" w:rsidRDefault="00C57B76"/>
      </w:docPartBody>
    </w:docPart>
    <w:docPart>
      <w:docPartPr>
        <w:name w:val="F3A81A681D704EE68488B7773FB06021"/>
        <w:category>
          <w:name w:val="General"/>
          <w:gallery w:val="placeholder"/>
        </w:category>
        <w:types>
          <w:type w:val="bbPlcHdr"/>
        </w:types>
        <w:behaviors>
          <w:behavior w:val="content"/>
        </w:behaviors>
        <w:guid w:val="{E0A0F4F8-30E8-41AF-9C6F-7968916AD0B8}"/>
      </w:docPartPr>
      <w:docPartBody>
        <w:p w:rsidR="00C57B76" w:rsidRDefault="00C57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363A7"/>
    <w:rsid w:val="00161453"/>
    <w:rsid w:val="001A14E7"/>
    <w:rsid w:val="00C57B76"/>
    <w:rsid w:val="00D9298D"/>
    <w:rsid w:val="00DE21D1"/>
    <w:rsid w:val="00E22078"/>
    <w:rsid w:val="00E3739E"/>
    <w:rsid w:val="00EA0F81"/>
    <w:rsid w:val="00EF0D9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A7B6-411E-47C9-86DC-B04C43F6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8</cp:revision>
  <cp:lastPrinted>2019-01-29T15:03:00Z</cp:lastPrinted>
  <dcterms:created xsi:type="dcterms:W3CDTF">2021-02-04T15:00:00Z</dcterms:created>
  <dcterms:modified xsi:type="dcterms:W3CDTF">2021-02-08T20:45:00Z</dcterms:modified>
</cp:coreProperties>
</file>